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AF" w:rsidRDefault="00034203">
      <w:pPr>
        <w:rPr>
          <w:color w:val="FF0000"/>
          <w:sz w:val="72"/>
          <w:szCs w:val="72"/>
        </w:rPr>
      </w:pPr>
      <w:r>
        <w:rPr>
          <w:color w:val="FF0000"/>
          <w:sz w:val="72"/>
          <w:szCs w:val="72"/>
        </w:rPr>
        <w:t xml:space="preserve">I </w:t>
      </w:r>
      <w:r w:rsidRPr="00034203">
        <w:rPr>
          <w:color w:val="FF0000"/>
          <w:sz w:val="72"/>
          <w:szCs w:val="72"/>
        </w:rPr>
        <w:t>Crimini</w:t>
      </w:r>
      <w:r>
        <w:rPr>
          <w:color w:val="FF0000"/>
          <w:sz w:val="72"/>
          <w:szCs w:val="72"/>
        </w:rPr>
        <w:t xml:space="preserve"> Informatici</w:t>
      </w:r>
    </w:p>
    <w:p w:rsidR="00034203" w:rsidRPr="00034203" w:rsidRDefault="00034203" w:rsidP="00034203">
      <w:pPr>
        <w:pStyle w:val="NormaleWeb"/>
        <w:rPr>
          <w:sz w:val="32"/>
          <w:szCs w:val="32"/>
        </w:rPr>
      </w:pPr>
      <w:r w:rsidRPr="00034203">
        <w:rPr>
          <w:sz w:val="32"/>
          <w:szCs w:val="32"/>
        </w:rPr>
        <w:t xml:space="preserve">Un </w:t>
      </w:r>
      <w:r w:rsidRPr="00034203">
        <w:rPr>
          <w:b/>
          <w:bCs/>
          <w:sz w:val="32"/>
          <w:szCs w:val="32"/>
        </w:rPr>
        <w:t>crimine informatico</w:t>
      </w:r>
      <w:r w:rsidRPr="00034203">
        <w:rPr>
          <w:sz w:val="32"/>
          <w:szCs w:val="32"/>
        </w:rPr>
        <w:t xml:space="preserve"> è un fenomeno criminale che si caratterizza nell'abuso della tecnologia </w:t>
      </w:r>
      <w:hyperlink r:id="rId7" w:tooltip="Informatica" w:history="1">
        <w:r w:rsidRPr="00034203">
          <w:rPr>
            <w:rStyle w:val="Collegamentoipertestuale"/>
            <w:color w:val="FF0000"/>
            <w:sz w:val="32"/>
            <w:szCs w:val="32"/>
          </w:rPr>
          <w:t>informatica</w:t>
        </w:r>
      </w:hyperlink>
      <w:r w:rsidRPr="00034203">
        <w:rPr>
          <w:sz w:val="32"/>
          <w:szCs w:val="32"/>
        </w:rPr>
        <w:t xml:space="preserve"> sia </w:t>
      </w:r>
      <w:hyperlink r:id="rId8" w:tooltip="Hardware" w:history="1">
        <w:r w:rsidRPr="00034203">
          <w:rPr>
            <w:rStyle w:val="Collegamentoipertestuale"/>
            <w:color w:val="FF0000"/>
            <w:sz w:val="32"/>
            <w:szCs w:val="32"/>
          </w:rPr>
          <w:t>hardware</w:t>
        </w:r>
      </w:hyperlink>
      <w:r w:rsidRPr="00034203">
        <w:rPr>
          <w:color w:val="FF0000"/>
          <w:sz w:val="32"/>
          <w:szCs w:val="32"/>
        </w:rPr>
        <w:t xml:space="preserve"> </w:t>
      </w:r>
      <w:r w:rsidRPr="00034203">
        <w:rPr>
          <w:sz w:val="32"/>
          <w:szCs w:val="32"/>
        </w:rPr>
        <w:t xml:space="preserve">che </w:t>
      </w:r>
      <w:hyperlink r:id="rId9" w:tooltip="Software" w:history="1">
        <w:r w:rsidRPr="00034203">
          <w:rPr>
            <w:rStyle w:val="Collegamentoipertestuale"/>
            <w:color w:val="FF0000"/>
            <w:sz w:val="32"/>
            <w:szCs w:val="32"/>
          </w:rPr>
          <w:t>software</w:t>
        </w:r>
      </w:hyperlink>
      <w:r>
        <w:rPr>
          <w:color w:val="FF0000"/>
          <w:sz w:val="32"/>
          <w:szCs w:val="32"/>
        </w:rPr>
        <w:t xml:space="preserve">. </w:t>
      </w:r>
      <w:r w:rsidRPr="00034203">
        <w:rPr>
          <w:sz w:val="32"/>
          <w:szCs w:val="32"/>
        </w:rPr>
        <w:t>Alcuni crimini in particolare sono finalizzati allo sfruttamento commerciale della rete</w:t>
      </w:r>
      <w:r>
        <w:rPr>
          <w:sz w:val="32"/>
          <w:szCs w:val="32"/>
        </w:rPr>
        <w:t>,</w:t>
      </w:r>
      <w:r w:rsidRPr="00034203">
        <w:rPr>
          <w:sz w:val="32"/>
          <w:szCs w:val="32"/>
        </w:rPr>
        <w:t>a porre a rischio i sistemi informativi di sicurezza nazionale</w:t>
      </w:r>
      <w:r>
        <w:rPr>
          <w:sz w:val="32"/>
          <w:szCs w:val="32"/>
        </w:rPr>
        <w:t>.</w:t>
      </w:r>
      <w:r w:rsidRPr="00034203">
        <w:t xml:space="preserve"> </w:t>
      </w:r>
      <w:r w:rsidRPr="00034203">
        <w:rPr>
          <w:sz w:val="32"/>
          <w:szCs w:val="32"/>
        </w:rPr>
        <w:t xml:space="preserve">A livello internazionale, molti governi ed agenzie non governative investono risorse nello spionaggio, nella truffa e in altri crimini transnazionali che coinvolgono interessi economici e politici. La difesa sociale internazionale è impegnata nell'individuare e denunciare tali attori alla </w:t>
      </w:r>
      <w:hyperlink r:id="rId10" w:tooltip="Corte Internazionale di Giustizia" w:history="1">
        <w:r w:rsidRPr="00034203">
          <w:rPr>
            <w:rStyle w:val="Collegamentoipertestuale"/>
            <w:color w:val="FF0000"/>
            <w:sz w:val="32"/>
            <w:szCs w:val="32"/>
          </w:rPr>
          <w:t>Corte Internazionale dell'Aja</w:t>
        </w:r>
      </w:hyperlink>
      <w:r w:rsidRPr="00034203">
        <w:rPr>
          <w:color w:val="FF0000"/>
          <w:sz w:val="32"/>
          <w:szCs w:val="32"/>
        </w:rPr>
        <w:t>.</w:t>
      </w:r>
      <w:r w:rsidRPr="00034203">
        <w:rPr>
          <w:sz w:val="32"/>
          <w:szCs w:val="32"/>
        </w:rPr>
        <w:t xml:space="preserve"> Il crimine informatico può essere generalmente definito come un'attività criminale che coinvolge la struttura della tecnologia di informazione, compreso l'accesso illegale (l'accesso non autorizzato), intercettazione (con mezzi tecnici di trasmissioni non pubbliche di dati informatici verso, da o all'interno di un sistema informatico), interferenze di dati (danneggiamento, cancellazione, deterioramento, alterazione o soppressione di dati informatici), sistemi di interferenza (interferenza con il funzionamento di un sistema informatico mediante l'immissione, trasmissione, danneggiamento, cancellazione, deterioramento, alterazione o soppressione di dati informatici), uso improprio di dispositivi, contraffazione (o</w:t>
      </w:r>
      <w:r w:rsidRPr="00034203">
        <w:rPr>
          <w:color w:val="FF0000"/>
          <w:sz w:val="32"/>
          <w:szCs w:val="32"/>
        </w:rPr>
        <w:t xml:space="preserve"> </w:t>
      </w:r>
      <w:hyperlink r:id="rId11" w:tooltip="Furto d'identità" w:history="1">
        <w:r w:rsidRPr="00034203">
          <w:rPr>
            <w:rStyle w:val="Collegamentoipertestuale"/>
            <w:color w:val="FF0000"/>
            <w:sz w:val="32"/>
            <w:szCs w:val="32"/>
          </w:rPr>
          <w:t>furto d'identità</w:t>
        </w:r>
      </w:hyperlink>
      <w:r w:rsidRPr="00034203">
        <w:rPr>
          <w:sz w:val="32"/>
          <w:szCs w:val="32"/>
        </w:rPr>
        <w:t>) e frodi elettroniche.</w:t>
      </w:r>
      <w:r w:rsidRPr="00034203">
        <w:t xml:space="preserve"> </w:t>
      </w:r>
      <w:r w:rsidRPr="00034203">
        <w:rPr>
          <w:sz w:val="32"/>
          <w:szCs w:val="32"/>
        </w:rPr>
        <w:t xml:space="preserve">L'esigenza di punire i crimini informatici emerse già alla fine degli </w:t>
      </w:r>
      <w:hyperlink r:id="rId12" w:tooltip="Anni 1980" w:history="1">
        <w:r w:rsidRPr="00034203">
          <w:rPr>
            <w:color w:val="FF0000"/>
            <w:sz w:val="32"/>
            <w:szCs w:val="32"/>
            <w:u w:val="single"/>
          </w:rPr>
          <w:t>anni ottanta</w:t>
        </w:r>
      </w:hyperlink>
      <w:r w:rsidRPr="00034203">
        <w:rPr>
          <w:sz w:val="32"/>
          <w:szCs w:val="32"/>
        </w:rPr>
        <w:t xml:space="preserve">, tanto che, il 13 settembre </w:t>
      </w:r>
      <w:hyperlink r:id="rId13" w:tooltip="1989" w:history="1">
        <w:r w:rsidRPr="00034203">
          <w:rPr>
            <w:color w:val="FF0000"/>
            <w:sz w:val="32"/>
            <w:szCs w:val="32"/>
            <w:u w:val="single"/>
          </w:rPr>
          <w:t>1989</w:t>
        </w:r>
      </w:hyperlink>
      <w:r w:rsidRPr="00034203">
        <w:rPr>
          <w:sz w:val="32"/>
          <w:szCs w:val="32"/>
        </w:rPr>
        <w:t xml:space="preserve">, </w:t>
      </w:r>
      <w:r w:rsidRPr="00034203">
        <w:rPr>
          <w:color w:val="FF0000"/>
          <w:sz w:val="32"/>
          <w:szCs w:val="32"/>
        </w:rPr>
        <w:t xml:space="preserve">il </w:t>
      </w:r>
      <w:hyperlink r:id="rId14" w:tooltip="Consiglio d'Europa" w:history="1">
        <w:r w:rsidRPr="00034203">
          <w:rPr>
            <w:color w:val="FF0000"/>
            <w:sz w:val="32"/>
            <w:szCs w:val="32"/>
            <w:u w:val="single"/>
          </w:rPr>
          <w:t>Consiglio d'Europa</w:t>
        </w:r>
      </w:hyperlink>
      <w:r w:rsidRPr="00034203">
        <w:rPr>
          <w:sz w:val="32"/>
          <w:szCs w:val="32"/>
        </w:rPr>
        <w:t xml:space="preserve"> emanò una </w:t>
      </w:r>
      <w:hyperlink r:id="rId15" w:tooltip="Raccomandazione (diritto dell'Unione europea)" w:history="1">
        <w:r w:rsidRPr="00034203">
          <w:rPr>
            <w:i/>
            <w:iCs/>
            <w:color w:val="FF0000"/>
            <w:sz w:val="32"/>
            <w:szCs w:val="32"/>
            <w:u w:val="single"/>
          </w:rPr>
          <w:t>Raccomandazione</w:t>
        </w:r>
      </w:hyperlink>
      <w:r w:rsidRPr="00034203">
        <w:rPr>
          <w:i/>
          <w:iCs/>
          <w:sz w:val="32"/>
          <w:szCs w:val="32"/>
        </w:rPr>
        <w:t xml:space="preserve"> sulla Criminalità Informatica</w:t>
      </w:r>
      <w:r w:rsidRPr="00034203">
        <w:rPr>
          <w:sz w:val="32"/>
          <w:szCs w:val="32"/>
        </w:rPr>
        <w:t xml:space="preserve"> dove venivano discusse le condotte informatiche abusive. I reati vennero divisi in due liste: facevano parte della prima lista detta </w:t>
      </w:r>
      <w:r w:rsidRPr="00034203">
        <w:rPr>
          <w:i/>
          <w:iCs/>
          <w:sz w:val="32"/>
          <w:szCs w:val="32"/>
        </w:rPr>
        <w:t>lista minima</w:t>
      </w:r>
      <w:r w:rsidRPr="00034203">
        <w:rPr>
          <w:sz w:val="32"/>
          <w:szCs w:val="32"/>
        </w:rPr>
        <w:t xml:space="preserve"> quelle condotte che gli Stati sono invitati a perseguire penalmente quali:</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La </w:t>
      </w:r>
      <w:hyperlink r:id="rId16" w:tooltip="Frode informatica" w:history="1">
        <w:r w:rsidRPr="00034203">
          <w:rPr>
            <w:rFonts w:ascii="Times New Roman" w:eastAsia="Times New Roman" w:hAnsi="Times New Roman" w:cs="Times New Roman"/>
            <w:color w:val="FF0000"/>
            <w:sz w:val="32"/>
            <w:szCs w:val="32"/>
            <w:u w:val="single"/>
            <w:lang w:eastAsia="it-IT"/>
          </w:rPr>
          <w:t>frode informatica</w:t>
        </w:r>
      </w:hyperlink>
      <w:r w:rsidRPr="00034203">
        <w:rPr>
          <w:rFonts w:ascii="Times New Roman" w:eastAsia="Times New Roman" w:hAnsi="Times New Roman" w:cs="Times New Roman"/>
          <w:color w:val="FF0000"/>
          <w:sz w:val="32"/>
          <w:szCs w:val="32"/>
          <w:lang w:eastAsia="it-IT"/>
        </w:rPr>
        <w:t xml:space="preserve"> </w:t>
      </w:r>
      <w:r w:rsidRPr="00034203">
        <w:rPr>
          <w:rFonts w:ascii="Times New Roman" w:eastAsia="Times New Roman" w:hAnsi="Times New Roman" w:cs="Times New Roman"/>
          <w:sz w:val="32"/>
          <w:szCs w:val="32"/>
          <w:lang w:eastAsia="it-IT"/>
        </w:rPr>
        <w:t>che consiste nell'alterare un procedimento di elaborazione di dati con lo scopo di procurarsi un ingiusto profitto;</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Il falso in documenti informatici;</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Il danneggiamento di </w:t>
      </w:r>
      <w:hyperlink r:id="rId17" w:tooltip="Dato" w:history="1">
        <w:r w:rsidRPr="00034203">
          <w:rPr>
            <w:rFonts w:ascii="Times New Roman" w:eastAsia="Times New Roman" w:hAnsi="Times New Roman" w:cs="Times New Roman"/>
            <w:color w:val="FF0000"/>
            <w:sz w:val="32"/>
            <w:szCs w:val="32"/>
            <w:u w:val="single"/>
            <w:lang w:eastAsia="it-IT"/>
          </w:rPr>
          <w:t>dati</w:t>
        </w:r>
      </w:hyperlink>
      <w:r w:rsidRPr="00034203">
        <w:rPr>
          <w:rFonts w:ascii="Times New Roman" w:eastAsia="Times New Roman" w:hAnsi="Times New Roman" w:cs="Times New Roman"/>
          <w:sz w:val="32"/>
          <w:szCs w:val="32"/>
          <w:lang w:eastAsia="it-IT"/>
        </w:rPr>
        <w:t xml:space="preserve"> e </w:t>
      </w:r>
      <w:hyperlink r:id="rId18" w:tooltip="Programma (informatica)" w:history="1">
        <w:r w:rsidRPr="00034203">
          <w:rPr>
            <w:rFonts w:ascii="Times New Roman" w:eastAsia="Times New Roman" w:hAnsi="Times New Roman" w:cs="Times New Roman"/>
            <w:color w:val="FF0000"/>
            <w:sz w:val="32"/>
            <w:szCs w:val="32"/>
            <w:u w:val="single"/>
            <w:lang w:eastAsia="it-IT"/>
          </w:rPr>
          <w:t>programmi</w:t>
        </w:r>
      </w:hyperlink>
      <w:r w:rsidRPr="00034203">
        <w:rPr>
          <w:rFonts w:ascii="Times New Roman" w:eastAsia="Times New Roman" w:hAnsi="Times New Roman" w:cs="Times New Roman"/>
          <w:sz w:val="32"/>
          <w:szCs w:val="32"/>
          <w:lang w:eastAsia="it-IT"/>
        </w:rPr>
        <w:t>;</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Il </w:t>
      </w:r>
      <w:hyperlink r:id="rId19" w:tooltip="Sabotaggio" w:history="1">
        <w:r w:rsidRPr="00034203">
          <w:rPr>
            <w:rFonts w:ascii="Times New Roman" w:eastAsia="Times New Roman" w:hAnsi="Times New Roman" w:cs="Times New Roman"/>
            <w:color w:val="FF0000"/>
            <w:sz w:val="32"/>
            <w:szCs w:val="32"/>
            <w:u w:val="single"/>
            <w:lang w:eastAsia="it-IT"/>
          </w:rPr>
          <w:t>sabotaggio</w:t>
        </w:r>
      </w:hyperlink>
      <w:r w:rsidRPr="00034203">
        <w:rPr>
          <w:rFonts w:ascii="Times New Roman" w:eastAsia="Times New Roman" w:hAnsi="Times New Roman" w:cs="Times New Roman"/>
          <w:color w:val="FF0000"/>
          <w:sz w:val="32"/>
          <w:szCs w:val="32"/>
          <w:lang w:eastAsia="it-IT"/>
        </w:rPr>
        <w:t xml:space="preserve"> </w:t>
      </w:r>
      <w:r w:rsidRPr="00034203">
        <w:rPr>
          <w:rFonts w:ascii="Times New Roman" w:eastAsia="Times New Roman" w:hAnsi="Times New Roman" w:cs="Times New Roman"/>
          <w:sz w:val="32"/>
          <w:szCs w:val="32"/>
          <w:lang w:eastAsia="it-IT"/>
        </w:rPr>
        <w:t>informatico;</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L'</w:t>
      </w:r>
      <w:hyperlink r:id="rId20" w:tooltip="Accesso abusivo ad un sistema informatico o telematico" w:history="1">
        <w:r w:rsidRPr="00034203">
          <w:rPr>
            <w:rFonts w:ascii="Times New Roman" w:eastAsia="Times New Roman" w:hAnsi="Times New Roman" w:cs="Times New Roman"/>
            <w:color w:val="FF0000"/>
            <w:sz w:val="32"/>
            <w:szCs w:val="32"/>
            <w:u w:val="single"/>
            <w:lang w:eastAsia="it-IT"/>
          </w:rPr>
          <w:t>accesso abusivo</w:t>
        </w:r>
      </w:hyperlink>
      <w:r w:rsidRPr="00034203">
        <w:rPr>
          <w:rFonts w:ascii="Times New Roman" w:eastAsia="Times New Roman" w:hAnsi="Times New Roman" w:cs="Times New Roman"/>
          <w:sz w:val="32"/>
          <w:szCs w:val="32"/>
          <w:lang w:eastAsia="it-IT"/>
        </w:rPr>
        <w:t xml:space="preserve"> associato alla violazione delle misure di sicurezza del sistema;</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L'</w:t>
      </w:r>
      <w:hyperlink r:id="rId21" w:tooltip="Intercettazione" w:history="1">
        <w:r w:rsidRPr="00034203">
          <w:rPr>
            <w:rFonts w:ascii="Times New Roman" w:eastAsia="Times New Roman" w:hAnsi="Times New Roman" w:cs="Times New Roman"/>
            <w:color w:val="FF0000"/>
            <w:sz w:val="32"/>
            <w:szCs w:val="32"/>
            <w:u w:val="single"/>
            <w:lang w:eastAsia="it-IT"/>
          </w:rPr>
          <w:t>intercettazione</w:t>
        </w:r>
      </w:hyperlink>
      <w:r w:rsidRPr="00034203">
        <w:rPr>
          <w:rFonts w:ascii="Times New Roman" w:eastAsia="Times New Roman" w:hAnsi="Times New Roman" w:cs="Times New Roman"/>
          <w:sz w:val="32"/>
          <w:szCs w:val="32"/>
          <w:lang w:eastAsia="it-IT"/>
        </w:rPr>
        <w:t xml:space="preserve"> non autorizzata;</w:t>
      </w:r>
    </w:p>
    <w:p w:rsidR="00034203" w:rsidRP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La </w:t>
      </w:r>
      <w:r w:rsidRPr="00034203">
        <w:rPr>
          <w:rFonts w:ascii="Times New Roman" w:eastAsia="Times New Roman" w:hAnsi="Times New Roman" w:cs="Times New Roman"/>
          <w:color w:val="FF0000"/>
          <w:sz w:val="32"/>
          <w:szCs w:val="32"/>
          <w:lang w:eastAsia="it-IT"/>
        </w:rPr>
        <w:t>riproduzione</w:t>
      </w:r>
      <w:r w:rsidRPr="00034203">
        <w:rPr>
          <w:rFonts w:ascii="Times New Roman" w:eastAsia="Times New Roman" w:hAnsi="Times New Roman" w:cs="Times New Roman"/>
          <w:sz w:val="32"/>
          <w:szCs w:val="32"/>
          <w:lang w:eastAsia="it-IT"/>
        </w:rPr>
        <w:t xml:space="preserve"> non autorizzata di programmi protetti;</w:t>
      </w:r>
    </w:p>
    <w:p w:rsidR="00034203" w:rsidRDefault="00034203" w:rsidP="00034203">
      <w:pPr>
        <w:numPr>
          <w:ilvl w:val="0"/>
          <w:numId w:val="1"/>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lastRenderedPageBreak/>
        <w:t xml:space="preserve">La riproduzione non autorizzata di </w:t>
      </w:r>
      <w:hyperlink r:id="rId22" w:tooltip="Topografia" w:history="1">
        <w:r w:rsidRPr="00034203">
          <w:rPr>
            <w:rFonts w:ascii="Times New Roman" w:eastAsia="Times New Roman" w:hAnsi="Times New Roman" w:cs="Times New Roman"/>
            <w:color w:val="FF0000"/>
            <w:sz w:val="32"/>
            <w:szCs w:val="32"/>
            <w:u w:val="single"/>
            <w:lang w:eastAsia="it-IT"/>
          </w:rPr>
          <w:t>topografie</w:t>
        </w:r>
      </w:hyperlink>
      <w:r w:rsidRPr="00034203">
        <w:rPr>
          <w:rFonts w:ascii="Times New Roman" w:eastAsia="Times New Roman" w:hAnsi="Times New Roman" w:cs="Times New Roman"/>
          <w:color w:val="FF0000"/>
          <w:sz w:val="32"/>
          <w:szCs w:val="32"/>
          <w:lang w:eastAsia="it-IT"/>
        </w:rPr>
        <w:t xml:space="preserve"> </w:t>
      </w:r>
      <w:r w:rsidRPr="00034203">
        <w:rPr>
          <w:rFonts w:ascii="Times New Roman" w:eastAsia="Times New Roman" w:hAnsi="Times New Roman" w:cs="Times New Roman"/>
          <w:sz w:val="32"/>
          <w:szCs w:val="32"/>
          <w:lang w:eastAsia="it-IT"/>
        </w:rPr>
        <w:t>di prodotti a semiconduttore</w:t>
      </w:r>
    </w:p>
    <w:p w:rsidR="00574DC2" w:rsidRDefault="00574DC2" w:rsidP="00574DC2">
      <w:pPr>
        <w:spacing w:before="100" w:beforeAutospacing="1" w:after="100" w:afterAutospacing="1" w:line="240" w:lineRule="auto"/>
        <w:ind w:left="720"/>
        <w:rPr>
          <w:rFonts w:ascii="Times New Roman" w:eastAsia="Times New Roman" w:hAnsi="Times New Roman" w:cs="Times New Roman"/>
          <w:sz w:val="32"/>
          <w:szCs w:val="32"/>
          <w:lang w:eastAsia="it-IT"/>
        </w:rPr>
      </w:pPr>
      <w:r>
        <w:rPr>
          <w:noProof/>
          <w:lang w:eastAsia="it-IT"/>
        </w:rPr>
        <w:drawing>
          <wp:inline distT="0" distB="0" distL="0" distR="0">
            <wp:extent cx="4191000" cy="2788920"/>
            <wp:effectExtent l="19050" t="0" r="0" b="0"/>
            <wp:docPr id="1" name="Immagine 1" descr="http://www.ilquotidianofvg.it/wp-content/uploads/2012/11/crimini-informatici37771_19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quotidianofvg.it/wp-content/uploads/2012/11/crimini-informatici37771_192759.jpg"/>
                    <pic:cNvPicPr>
                      <a:picLocks noChangeAspect="1" noChangeArrowheads="1"/>
                    </pic:cNvPicPr>
                  </pic:nvPicPr>
                  <pic:blipFill>
                    <a:blip r:embed="rId23"/>
                    <a:srcRect/>
                    <a:stretch>
                      <a:fillRect/>
                    </a:stretch>
                  </pic:blipFill>
                  <pic:spPr bwMode="auto">
                    <a:xfrm>
                      <a:off x="0" y="0"/>
                      <a:ext cx="4191000" cy="2788920"/>
                    </a:xfrm>
                    <a:prstGeom prst="rect">
                      <a:avLst/>
                    </a:prstGeom>
                    <a:noFill/>
                    <a:ln w="9525">
                      <a:noFill/>
                      <a:miter lim="800000"/>
                      <a:headEnd/>
                      <a:tailEnd/>
                    </a:ln>
                  </pic:spPr>
                </pic:pic>
              </a:graphicData>
            </a:graphic>
          </wp:inline>
        </w:drawing>
      </w:r>
    </w:p>
    <w:p w:rsidR="00574DC2" w:rsidRPr="00034203" w:rsidRDefault="00574DC2" w:rsidP="00574DC2">
      <w:pPr>
        <w:spacing w:before="100" w:beforeAutospacing="1" w:after="100" w:afterAutospacing="1" w:line="240" w:lineRule="auto"/>
        <w:ind w:left="720"/>
        <w:rPr>
          <w:rFonts w:ascii="Times New Roman" w:eastAsia="Times New Roman" w:hAnsi="Times New Roman" w:cs="Times New Roman"/>
          <w:sz w:val="32"/>
          <w:szCs w:val="32"/>
          <w:lang w:eastAsia="it-IT"/>
        </w:rPr>
      </w:pPr>
    </w:p>
    <w:p w:rsidR="00034203" w:rsidRPr="00034203" w:rsidRDefault="00034203" w:rsidP="00034203">
      <w:pPr>
        <w:pStyle w:val="NormaleWeb"/>
      </w:pPr>
      <w:r>
        <w:rPr>
          <w:color w:val="FF0000"/>
          <w:sz w:val="72"/>
          <w:szCs w:val="72"/>
        </w:rPr>
        <w:t>Tipi di reati informatici</w:t>
      </w:r>
      <w:r w:rsidRPr="00034203">
        <w:t xml:space="preserve"> </w:t>
      </w:r>
    </w:p>
    <w:p w:rsidR="00034203" w:rsidRDefault="00034203" w:rsidP="00034203">
      <w:pPr>
        <w:pStyle w:val="NormaleWeb"/>
        <w:ind w:left="360"/>
        <w:rPr>
          <w:color w:val="FF0000"/>
          <w:sz w:val="72"/>
          <w:szCs w:val="72"/>
        </w:rPr>
      </w:pPr>
    </w:p>
    <w:p w:rsidR="00034203" w:rsidRPr="00034203" w:rsidRDefault="00034203" w:rsidP="00034203">
      <w:p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Il crimine informatico abbraccia un ampio ventaglio di attività suddivise in due categorie:</w:t>
      </w:r>
    </w:p>
    <w:p w:rsidR="00034203" w:rsidRPr="00034203" w:rsidRDefault="00034203" w:rsidP="00034203">
      <w:pPr>
        <w:numPr>
          <w:ilvl w:val="0"/>
          <w:numId w:val="4"/>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L'utilizzo della tecnologia informatica per compiere l'abuso: </w:t>
      </w:r>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24" w:tooltip="Virus (informatica)" w:history="1">
        <w:r w:rsidRPr="00034203">
          <w:rPr>
            <w:rFonts w:ascii="Times New Roman" w:eastAsia="Times New Roman" w:hAnsi="Times New Roman" w:cs="Times New Roman"/>
            <w:color w:val="FF0000"/>
            <w:sz w:val="32"/>
            <w:szCs w:val="32"/>
            <w:u w:val="single"/>
            <w:lang w:eastAsia="it-IT"/>
          </w:rPr>
          <w:t>Infezione da virus</w:t>
        </w:r>
      </w:hyperlink>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25" w:tooltip="Spam" w:history="1">
        <w:r w:rsidRPr="00034203">
          <w:rPr>
            <w:rFonts w:ascii="Times New Roman" w:eastAsia="Times New Roman" w:hAnsi="Times New Roman" w:cs="Times New Roman"/>
            <w:color w:val="FF0000"/>
            <w:sz w:val="32"/>
            <w:szCs w:val="32"/>
            <w:u w:val="single"/>
            <w:lang w:eastAsia="it-IT"/>
          </w:rPr>
          <w:t>Spam</w:t>
        </w:r>
      </w:hyperlink>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sz w:val="32"/>
          <w:szCs w:val="32"/>
          <w:lang w:eastAsia="it-IT"/>
        </w:rPr>
      </w:pPr>
      <w:hyperlink r:id="rId26" w:tooltip="Malware" w:history="1">
        <w:r w:rsidRPr="00034203">
          <w:rPr>
            <w:rFonts w:ascii="Times New Roman" w:eastAsia="Times New Roman" w:hAnsi="Times New Roman" w:cs="Times New Roman"/>
            <w:color w:val="FF0000"/>
            <w:sz w:val="32"/>
            <w:szCs w:val="32"/>
            <w:u w:val="single"/>
            <w:lang w:eastAsia="it-IT"/>
          </w:rPr>
          <w:t>Malware</w:t>
        </w:r>
      </w:hyperlink>
      <w:r w:rsidRPr="00034203">
        <w:rPr>
          <w:rFonts w:ascii="Times New Roman" w:eastAsia="Times New Roman" w:hAnsi="Times New Roman" w:cs="Times New Roman"/>
          <w:sz w:val="32"/>
          <w:szCs w:val="32"/>
          <w:lang w:eastAsia="it-IT"/>
        </w:rPr>
        <w:t xml:space="preserve"> (</w:t>
      </w:r>
      <w:r w:rsidRPr="00034203">
        <w:rPr>
          <w:rFonts w:ascii="Times New Roman" w:eastAsia="Times New Roman" w:hAnsi="Times New Roman" w:cs="Times New Roman"/>
          <w:i/>
          <w:iCs/>
          <w:sz w:val="32"/>
          <w:szCs w:val="32"/>
          <w:lang w:eastAsia="it-IT"/>
        </w:rPr>
        <w:t>malicious software</w:t>
      </w:r>
      <w:r w:rsidRPr="00034203">
        <w:rPr>
          <w:rFonts w:ascii="Times New Roman" w:eastAsia="Times New Roman" w:hAnsi="Times New Roman" w:cs="Times New Roman"/>
          <w:sz w:val="32"/>
          <w:szCs w:val="32"/>
          <w:lang w:eastAsia="it-IT"/>
        </w:rPr>
        <w:t>)</w:t>
      </w:r>
    </w:p>
    <w:p w:rsidR="00034203" w:rsidRPr="00034203" w:rsidRDefault="00034203" w:rsidP="00034203">
      <w:pPr>
        <w:numPr>
          <w:ilvl w:val="0"/>
          <w:numId w:val="4"/>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L'utilizzo dell'</w:t>
      </w:r>
      <w:hyperlink r:id="rId27" w:tooltip="Computer" w:history="1">
        <w:r w:rsidRPr="00034203">
          <w:rPr>
            <w:rFonts w:ascii="Times New Roman" w:eastAsia="Times New Roman" w:hAnsi="Times New Roman" w:cs="Times New Roman"/>
            <w:color w:val="FF0000"/>
            <w:sz w:val="32"/>
            <w:szCs w:val="32"/>
            <w:u w:val="single"/>
            <w:lang w:eastAsia="it-IT"/>
          </w:rPr>
          <w:t>elaboratore</w:t>
        </w:r>
      </w:hyperlink>
      <w:r w:rsidRPr="00034203">
        <w:rPr>
          <w:rFonts w:ascii="Times New Roman" w:eastAsia="Times New Roman" w:hAnsi="Times New Roman" w:cs="Times New Roman"/>
          <w:sz w:val="32"/>
          <w:szCs w:val="32"/>
          <w:lang w:eastAsia="it-IT"/>
        </w:rPr>
        <w:t xml:space="preserve"> nella realizzazione del fatto: </w:t>
      </w:r>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28" w:anchor="Terminologia_e_significato_criminologico" w:tooltip="Stalking" w:history="1">
        <w:r w:rsidRPr="00034203">
          <w:rPr>
            <w:rFonts w:ascii="Times New Roman" w:eastAsia="Times New Roman" w:hAnsi="Times New Roman" w:cs="Times New Roman"/>
            <w:color w:val="FF0000"/>
            <w:sz w:val="32"/>
            <w:szCs w:val="32"/>
            <w:u w:val="single"/>
            <w:lang w:eastAsia="it-IT"/>
          </w:rPr>
          <w:t>Cyberstalking</w:t>
        </w:r>
      </w:hyperlink>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29" w:tooltip="Frode informatica" w:history="1">
        <w:r w:rsidRPr="00034203">
          <w:rPr>
            <w:rFonts w:ascii="Times New Roman" w:eastAsia="Times New Roman" w:hAnsi="Times New Roman" w:cs="Times New Roman"/>
            <w:color w:val="FF0000"/>
            <w:sz w:val="32"/>
            <w:szCs w:val="32"/>
            <w:u w:val="single"/>
            <w:lang w:eastAsia="it-IT"/>
          </w:rPr>
          <w:t>Frode</w:t>
        </w:r>
      </w:hyperlink>
      <w:r w:rsidRPr="00034203">
        <w:rPr>
          <w:rFonts w:ascii="Times New Roman" w:eastAsia="Times New Roman" w:hAnsi="Times New Roman" w:cs="Times New Roman"/>
          <w:color w:val="FF0000"/>
          <w:sz w:val="32"/>
          <w:szCs w:val="32"/>
          <w:lang w:eastAsia="it-IT"/>
        </w:rPr>
        <w:t xml:space="preserve"> e </w:t>
      </w:r>
      <w:hyperlink r:id="rId30" w:tooltip="Querela di falso" w:history="1">
        <w:r w:rsidRPr="00034203">
          <w:rPr>
            <w:rFonts w:ascii="Times New Roman" w:eastAsia="Times New Roman" w:hAnsi="Times New Roman" w:cs="Times New Roman"/>
            <w:color w:val="FF0000"/>
            <w:sz w:val="32"/>
            <w:szCs w:val="32"/>
            <w:u w:val="single"/>
            <w:lang w:eastAsia="it-IT"/>
          </w:rPr>
          <w:t>falsa identità</w:t>
        </w:r>
      </w:hyperlink>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31" w:tooltip="Information warfare" w:history="1">
        <w:r w:rsidRPr="00034203">
          <w:rPr>
            <w:rFonts w:ascii="Times New Roman" w:eastAsia="Times New Roman" w:hAnsi="Times New Roman" w:cs="Times New Roman"/>
            <w:color w:val="FF0000"/>
            <w:sz w:val="32"/>
            <w:szCs w:val="32"/>
            <w:u w:val="single"/>
            <w:lang w:eastAsia="it-IT"/>
          </w:rPr>
          <w:t>Information warfare</w:t>
        </w:r>
      </w:hyperlink>
    </w:p>
    <w:p w:rsidR="00034203" w:rsidRPr="00034203" w:rsidRDefault="00034203" w:rsidP="00034203">
      <w:pPr>
        <w:numPr>
          <w:ilvl w:val="1"/>
          <w:numId w:val="4"/>
        </w:numPr>
        <w:spacing w:before="100" w:beforeAutospacing="1" w:after="100" w:afterAutospacing="1" w:line="240" w:lineRule="auto"/>
        <w:rPr>
          <w:rFonts w:ascii="Times New Roman" w:eastAsia="Times New Roman" w:hAnsi="Times New Roman" w:cs="Times New Roman"/>
          <w:color w:val="FF0000"/>
          <w:sz w:val="32"/>
          <w:szCs w:val="32"/>
          <w:lang w:eastAsia="it-IT"/>
        </w:rPr>
      </w:pPr>
      <w:hyperlink r:id="rId32" w:tooltip="Phishing" w:history="1">
        <w:r w:rsidRPr="00034203">
          <w:rPr>
            <w:rFonts w:ascii="Times New Roman" w:eastAsia="Times New Roman" w:hAnsi="Times New Roman" w:cs="Times New Roman"/>
            <w:color w:val="FF0000"/>
            <w:sz w:val="32"/>
            <w:szCs w:val="32"/>
            <w:u w:val="single"/>
            <w:lang w:eastAsia="it-IT"/>
          </w:rPr>
          <w:t>Phishing</w:t>
        </w:r>
      </w:hyperlink>
    </w:p>
    <w:p w:rsidR="00034203" w:rsidRPr="00034203" w:rsidRDefault="00034203" w:rsidP="00034203">
      <w:pPr>
        <w:pStyle w:val="NormaleWeb"/>
        <w:rPr>
          <w:color w:val="FF0000"/>
          <w:sz w:val="32"/>
          <w:szCs w:val="32"/>
        </w:rPr>
      </w:pPr>
    </w:p>
    <w:p w:rsidR="00034203" w:rsidRDefault="00034203" w:rsidP="00034203">
      <w:pPr>
        <w:pStyle w:val="NormaleWeb"/>
        <w:rPr>
          <w:color w:val="FF0000"/>
          <w:sz w:val="72"/>
          <w:szCs w:val="72"/>
        </w:rPr>
      </w:pPr>
      <w:r>
        <w:rPr>
          <w:color w:val="FF0000"/>
          <w:sz w:val="72"/>
          <w:szCs w:val="72"/>
        </w:rPr>
        <w:lastRenderedPageBreak/>
        <w:t>Frode Fiscale</w:t>
      </w:r>
    </w:p>
    <w:p w:rsidR="00034203" w:rsidRPr="00034203" w:rsidRDefault="00034203" w:rsidP="00034203">
      <w:p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color w:val="FF0000"/>
          <w:sz w:val="32"/>
          <w:szCs w:val="32"/>
          <w:lang w:eastAsia="it-IT"/>
        </w:rPr>
        <w:t xml:space="preserve">La </w:t>
      </w:r>
      <w:hyperlink r:id="rId33" w:tooltip="Frode informatica" w:history="1">
        <w:r w:rsidRPr="00034203">
          <w:rPr>
            <w:rFonts w:ascii="Times New Roman" w:eastAsia="Times New Roman" w:hAnsi="Times New Roman" w:cs="Times New Roman"/>
            <w:i/>
            <w:iCs/>
            <w:color w:val="FF0000"/>
            <w:sz w:val="32"/>
            <w:szCs w:val="32"/>
            <w:u w:val="single"/>
            <w:lang w:eastAsia="it-IT"/>
          </w:rPr>
          <w:t>frode informatica</w:t>
        </w:r>
      </w:hyperlink>
      <w:r w:rsidRPr="00034203">
        <w:rPr>
          <w:rFonts w:ascii="Times New Roman" w:eastAsia="Times New Roman" w:hAnsi="Times New Roman" w:cs="Times New Roman"/>
          <w:sz w:val="32"/>
          <w:szCs w:val="32"/>
          <w:lang w:eastAsia="it-IT"/>
        </w:rPr>
        <w:t xml:space="preserve"> è associata alla </w:t>
      </w:r>
      <w:hyperlink r:id="rId34" w:tooltip="Truffa" w:history="1">
        <w:r w:rsidRPr="00034203">
          <w:rPr>
            <w:rFonts w:ascii="Times New Roman" w:eastAsia="Times New Roman" w:hAnsi="Times New Roman" w:cs="Times New Roman"/>
            <w:color w:val="FF0000"/>
            <w:sz w:val="32"/>
            <w:szCs w:val="32"/>
            <w:u w:val="single"/>
            <w:lang w:eastAsia="it-IT"/>
          </w:rPr>
          <w:t>frode</w:t>
        </w:r>
      </w:hyperlink>
      <w:r w:rsidRPr="00034203">
        <w:rPr>
          <w:rFonts w:ascii="Times New Roman" w:eastAsia="Times New Roman" w:hAnsi="Times New Roman" w:cs="Times New Roman"/>
          <w:sz w:val="32"/>
          <w:szCs w:val="32"/>
          <w:lang w:eastAsia="it-IT"/>
        </w:rPr>
        <w:t xml:space="preserve"> "tradizionale" con la differenza che è realizzata per mezzo di uno strumento informatico. La legge 547 del </w:t>
      </w:r>
      <w:hyperlink r:id="rId35" w:tooltip="1993" w:history="1">
        <w:r w:rsidRPr="00034203">
          <w:rPr>
            <w:rFonts w:ascii="Times New Roman" w:eastAsia="Times New Roman" w:hAnsi="Times New Roman" w:cs="Times New Roman"/>
            <w:color w:val="FF0000"/>
            <w:sz w:val="32"/>
            <w:szCs w:val="32"/>
            <w:u w:val="single"/>
            <w:lang w:eastAsia="it-IT"/>
          </w:rPr>
          <w:t>1993</w:t>
        </w:r>
      </w:hyperlink>
      <w:r w:rsidRPr="00034203">
        <w:rPr>
          <w:rFonts w:ascii="Times New Roman" w:eastAsia="Times New Roman" w:hAnsi="Times New Roman" w:cs="Times New Roman"/>
          <w:sz w:val="32"/>
          <w:szCs w:val="32"/>
          <w:lang w:eastAsia="it-IT"/>
        </w:rPr>
        <w:t xml:space="preserve"> aggiunge al </w:t>
      </w:r>
      <w:hyperlink r:id="rId36" w:tooltip="Codice penale italiano" w:history="1">
        <w:r w:rsidRPr="00034203">
          <w:rPr>
            <w:rFonts w:ascii="Times New Roman" w:eastAsia="Times New Roman" w:hAnsi="Times New Roman" w:cs="Times New Roman"/>
            <w:color w:val="FF0000"/>
            <w:sz w:val="32"/>
            <w:szCs w:val="32"/>
            <w:u w:val="single"/>
            <w:lang w:eastAsia="it-IT"/>
          </w:rPr>
          <w:t>Codice Penale</w:t>
        </w:r>
      </w:hyperlink>
      <w:r w:rsidRPr="00034203">
        <w:rPr>
          <w:rFonts w:ascii="Times New Roman" w:eastAsia="Times New Roman" w:hAnsi="Times New Roman" w:cs="Times New Roman"/>
          <w:sz w:val="32"/>
          <w:szCs w:val="32"/>
          <w:lang w:eastAsia="it-IT"/>
        </w:rPr>
        <w:t xml:space="preserve"> l'art. 640-ter per punire chiunque cerchi di ottenere un arricchimento interferendo abusivamente nell'elaborazione dei dati. Non è identificato come frode informatica l'indebito utilizzo di carte di pagamento magnetiche che è invece disciplinato dall'art. 55 del decreto legislativo 231 del 21 novembre </w:t>
      </w:r>
      <w:hyperlink r:id="rId37" w:tooltip="2007" w:history="1">
        <w:r w:rsidRPr="00034203">
          <w:rPr>
            <w:rFonts w:ascii="Times New Roman" w:eastAsia="Times New Roman" w:hAnsi="Times New Roman" w:cs="Times New Roman"/>
            <w:color w:val="FF0000"/>
            <w:sz w:val="32"/>
            <w:szCs w:val="32"/>
            <w:u w:val="single"/>
            <w:lang w:eastAsia="it-IT"/>
          </w:rPr>
          <w:t>2007</w:t>
        </w:r>
      </w:hyperlink>
      <w:r w:rsidRPr="00034203">
        <w:rPr>
          <w:rFonts w:ascii="Times New Roman" w:eastAsia="Times New Roman" w:hAnsi="Times New Roman" w:cs="Times New Roman"/>
          <w:sz w:val="32"/>
          <w:szCs w:val="32"/>
          <w:lang w:eastAsia="it-IT"/>
        </w:rPr>
        <w:t>. Altri reati previsti sono:</w:t>
      </w:r>
    </w:p>
    <w:p w:rsidR="00034203" w:rsidRPr="00034203" w:rsidRDefault="00034203" w:rsidP="00034203">
      <w:pPr>
        <w:numPr>
          <w:ilvl w:val="0"/>
          <w:numId w:val="5"/>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La </w:t>
      </w:r>
      <w:r w:rsidRPr="00034203">
        <w:rPr>
          <w:rFonts w:ascii="Times New Roman" w:eastAsia="Times New Roman" w:hAnsi="Times New Roman" w:cs="Times New Roman"/>
          <w:i/>
          <w:iCs/>
          <w:sz w:val="32"/>
          <w:szCs w:val="32"/>
          <w:lang w:eastAsia="it-IT"/>
        </w:rPr>
        <w:t>falsificazione di documenti informatici</w:t>
      </w:r>
      <w:r w:rsidRPr="00034203">
        <w:rPr>
          <w:rFonts w:ascii="Times New Roman" w:eastAsia="Times New Roman" w:hAnsi="Times New Roman" w:cs="Times New Roman"/>
          <w:sz w:val="32"/>
          <w:szCs w:val="32"/>
          <w:lang w:eastAsia="it-IT"/>
        </w:rPr>
        <w:t xml:space="preserve">. I documenti informatici sono equiparati a tutti gli effetti ai </w:t>
      </w:r>
      <w:hyperlink r:id="rId38" w:tooltip="Documento" w:history="1">
        <w:r w:rsidRPr="00034203">
          <w:rPr>
            <w:rFonts w:ascii="Times New Roman" w:eastAsia="Times New Roman" w:hAnsi="Times New Roman" w:cs="Times New Roman"/>
            <w:color w:val="FF0000"/>
            <w:sz w:val="32"/>
            <w:szCs w:val="32"/>
            <w:u w:val="single"/>
            <w:lang w:eastAsia="it-IT"/>
          </w:rPr>
          <w:t>documenti</w:t>
        </w:r>
      </w:hyperlink>
      <w:r w:rsidRPr="00034203">
        <w:rPr>
          <w:rFonts w:ascii="Times New Roman" w:eastAsia="Times New Roman" w:hAnsi="Times New Roman" w:cs="Times New Roman"/>
          <w:sz w:val="32"/>
          <w:szCs w:val="32"/>
          <w:lang w:eastAsia="it-IT"/>
        </w:rPr>
        <w:t xml:space="preserve"> tradizionali e l'art. 491-bis c.p. prevede l'applicabilità delle disposizioni sulla falsità in </w:t>
      </w:r>
      <w:r>
        <w:rPr>
          <w:rFonts w:ascii="Times New Roman" w:eastAsia="Times New Roman" w:hAnsi="Times New Roman" w:cs="Times New Roman"/>
          <w:sz w:val="32"/>
          <w:szCs w:val="32"/>
          <w:lang w:eastAsia="it-IT"/>
        </w:rPr>
        <w:t xml:space="preserve">atti </w:t>
      </w:r>
      <w:r w:rsidRPr="00034203">
        <w:rPr>
          <w:rFonts w:ascii="Times New Roman" w:eastAsia="Times New Roman" w:hAnsi="Times New Roman" w:cs="Times New Roman"/>
          <w:sz w:val="32"/>
          <w:szCs w:val="32"/>
          <w:lang w:eastAsia="it-IT"/>
        </w:rPr>
        <w:t>pubblici e privati. La falsificazione in comunicazioni informatiche ricalca invece il delitto di falsità in scrittura privata (art. 485 c.p.).</w:t>
      </w:r>
    </w:p>
    <w:p w:rsidR="00034203" w:rsidRPr="00034203" w:rsidRDefault="00034203" w:rsidP="00034203">
      <w:pPr>
        <w:numPr>
          <w:ilvl w:val="0"/>
          <w:numId w:val="6"/>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Le </w:t>
      </w:r>
      <w:r w:rsidRPr="00034203">
        <w:rPr>
          <w:rFonts w:ascii="Times New Roman" w:eastAsia="Times New Roman" w:hAnsi="Times New Roman" w:cs="Times New Roman"/>
          <w:i/>
          <w:iCs/>
          <w:sz w:val="32"/>
          <w:szCs w:val="32"/>
          <w:lang w:eastAsia="it-IT"/>
        </w:rPr>
        <w:t>aggressioni all’integrità dei dati</w:t>
      </w:r>
      <w:r w:rsidRPr="00034203">
        <w:rPr>
          <w:rFonts w:ascii="Times New Roman" w:eastAsia="Times New Roman" w:hAnsi="Times New Roman" w:cs="Times New Roman"/>
          <w:sz w:val="32"/>
          <w:szCs w:val="32"/>
          <w:lang w:eastAsia="it-IT"/>
        </w:rPr>
        <w:t xml:space="preserve">. La legge 547 del </w:t>
      </w:r>
      <w:hyperlink r:id="rId39" w:tooltip="1993" w:history="1">
        <w:r w:rsidRPr="00034203">
          <w:rPr>
            <w:rFonts w:ascii="Times New Roman" w:eastAsia="Times New Roman" w:hAnsi="Times New Roman" w:cs="Times New Roman"/>
            <w:color w:val="FF0000"/>
            <w:sz w:val="32"/>
            <w:szCs w:val="32"/>
            <w:u w:val="single"/>
            <w:lang w:eastAsia="it-IT"/>
          </w:rPr>
          <w:t>1993</w:t>
        </w:r>
      </w:hyperlink>
      <w:r w:rsidRPr="00034203">
        <w:rPr>
          <w:rFonts w:ascii="Times New Roman" w:eastAsia="Times New Roman" w:hAnsi="Times New Roman" w:cs="Times New Roman"/>
          <w:sz w:val="32"/>
          <w:szCs w:val="32"/>
          <w:lang w:eastAsia="it-IT"/>
        </w:rPr>
        <w:t xml:space="preserve"> amplia le precedenti disposizioni in materia e integra al Codice Penale l'art. 635-bis sul danneggiamento dei sistemi informatici e telematici, l'art. 615-quinquies sulla diffusione di virus e malware, l'art. 392 sulla violenza sulle cose (a tal proposito la legge 547 del </w:t>
      </w:r>
      <w:hyperlink r:id="rId40" w:tooltip="1993" w:history="1">
        <w:r w:rsidRPr="00034203">
          <w:rPr>
            <w:rFonts w:ascii="Times New Roman" w:eastAsia="Times New Roman" w:hAnsi="Times New Roman" w:cs="Times New Roman"/>
            <w:color w:val="FF0000"/>
            <w:sz w:val="32"/>
            <w:szCs w:val="32"/>
            <w:u w:val="single"/>
            <w:lang w:eastAsia="it-IT"/>
          </w:rPr>
          <w:t>1993</w:t>
        </w:r>
      </w:hyperlink>
      <w:r w:rsidRPr="00034203">
        <w:rPr>
          <w:rFonts w:ascii="Times New Roman" w:eastAsia="Times New Roman" w:hAnsi="Times New Roman" w:cs="Times New Roman"/>
          <w:sz w:val="32"/>
          <w:szCs w:val="32"/>
          <w:lang w:eastAsia="it-IT"/>
        </w:rPr>
        <w:t xml:space="preserve"> precisa le situazioni dove le aggressioni riguardano beni informatici) ed infine l'art. 420 sul reato di attentato ad impianti di </w:t>
      </w:r>
      <w:hyperlink r:id="rId41" w:tooltip="Pubblica utilità" w:history="1">
        <w:r w:rsidRPr="00034203">
          <w:rPr>
            <w:rFonts w:ascii="Times New Roman" w:eastAsia="Times New Roman" w:hAnsi="Times New Roman" w:cs="Times New Roman"/>
            <w:color w:val="FF0000"/>
            <w:sz w:val="32"/>
            <w:szCs w:val="32"/>
            <w:u w:val="single"/>
            <w:lang w:eastAsia="it-IT"/>
          </w:rPr>
          <w:t>pubblica utilità</w:t>
        </w:r>
      </w:hyperlink>
      <w:r w:rsidRPr="00034203">
        <w:rPr>
          <w:rFonts w:ascii="Times New Roman" w:eastAsia="Times New Roman" w:hAnsi="Times New Roman" w:cs="Times New Roman"/>
          <w:sz w:val="32"/>
          <w:szCs w:val="32"/>
          <w:lang w:eastAsia="it-IT"/>
        </w:rPr>
        <w:t xml:space="preserve">. Forse l'unico caso giudiziario di diffusione di virus per cui si è celebrato un dibattimento (sia in primo grado, sia in appello) è quello deciso dal Tribunale penale di </w:t>
      </w:r>
      <w:hyperlink r:id="rId42" w:tooltip="Bologna" w:history="1">
        <w:r w:rsidRPr="00034203">
          <w:rPr>
            <w:rFonts w:ascii="Times New Roman" w:eastAsia="Times New Roman" w:hAnsi="Times New Roman" w:cs="Times New Roman"/>
            <w:color w:val="FF0000"/>
            <w:sz w:val="32"/>
            <w:szCs w:val="32"/>
            <w:u w:val="single"/>
            <w:lang w:eastAsia="it-IT"/>
          </w:rPr>
          <w:t>Bologna</w:t>
        </w:r>
      </w:hyperlink>
      <w:r w:rsidRPr="00034203">
        <w:rPr>
          <w:rFonts w:ascii="Times New Roman" w:eastAsia="Times New Roman" w:hAnsi="Times New Roman" w:cs="Times New Roman"/>
          <w:sz w:val="32"/>
          <w:szCs w:val="32"/>
          <w:lang w:eastAsia="it-IT"/>
        </w:rPr>
        <w:t xml:space="preserve"> con la sentenza 1823/05 (la cui decisione è stata parzialmente ribaltata in appello</w:t>
      </w:r>
      <w:r w:rsidRPr="00034203">
        <w:rPr>
          <w:rFonts w:ascii="Times New Roman" w:eastAsia="Times New Roman" w:hAnsi="Times New Roman" w:cs="Times New Roman"/>
          <w:sz w:val="32"/>
          <w:szCs w:val="32"/>
          <w:vertAlign w:val="superscript"/>
          <w:lang w:eastAsia="it-IT"/>
        </w:rPr>
        <w:t>)</w:t>
      </w:r>
      <w:r w:rsidRPr="00034203">
        <w:rPr>
          <w:rFonts w:ascii="Times New Roman" w:eastAsia="Times New Roman" w:hAnsi="Times New Roman" w:cs="Times New Roman"/>
          <w:sz w:val="32"/>
          <w:szCs w:val="32"/>
          <w:lang w:eastAsia="it-IT"/>
        </w:rPr>
        <w:t>a proposito del "Caso Vjierika".</w:t>
      </w:r>
    </w:p>
    <w:p w:rsidR="00034203" w:rsidRDefault="00034203" w:rsidP="00034203">
      <w:pPr>
        <w:numPr>
          <w:ilvl w:val="0"/>
          <w:numId w:val="6"/>
        </w:numPr>
        <w:spacing w:before="100" w:beforeAutospacing="1" w:after="100" w:afterAutospacing="1" w:line="240" w:lineRule="auto"/>
        <w:rPr>
          <w:rFonts w:ascii="Times New Roman" w:eastAsia="Times New Roman" w:hAnsi="Times New Roman" w:cs="Times New Roman"/>
          <w:sz w:val="32"/>
          <w:szCs w:val="32"/>
          <w:lang w:eastAsia="it-IT"/>
        </w:rPr>
      </w:pPr>
      <w:r w:rsidRPr="00034203">
        <w:rPr>
          <w:rFonts w:ascii="Times New Roman" w:eastAsia="Times New Roman" w:hAnsi="Times New Roman" w:cs="Times New Roman"/>
          <w:sz w:val="32"/>
          <w:szCs w:val="32"/>
          <w:lang w:eastAsia="it-IT"/>
        </w:rPr>
        <w:t xml:space="preserve">Le </w:t>
      </w:r>
      <w:r w:rsidRPr="00034203">
        <w:rPr>
          <w:rFonts w:ascii="Times New Roman" w:eastAsia="Times New Roman" w:hAnsi="Times New Roman" w:cs="Times New Roman"/>
          <w:i/>
          <w:iCs/>
          <w:sz w:val="32"/>
          <w:szCs w:val="32"/>
          <w:lang w:eastAsia="it-IT"/>
        </w:rPr>
        <w:t>aggressioni alla riservatezza dei dati e delle comunicazioni informatiche</w:t>
      </w:r>
      <w:r w:rsidRPr="00034203">
        <w:rPr>
          <w:rFonts w:ascii="Times New Roman" w:eastAsia="Times New Roman" w:hAnsi="Times New Roman" w:cs="Times New Roman"/>
          <w:sz w:val="32"/>
          <w:szCs w:val="32"/>
          <w:lang w:eastAsia="it-IT"/>
        </w:rPr>
        <w:t xml:space="preserve">. Riguardo alle forme di intrusione nella sfera privata altrui si incriminano l'accesso abusivo ad un sistema informatico o telematico (art. 615-ter c.p.), la </w:t>
      </w:r>
      <w:hyperlink r:id="rId43" w:tooltip="Detenzione o diffusione abusiva di codici di accesso" w:history="1">
        <w:r w:rsidRPr="00034203">
          <w:rPr>
            <w:rFonts w:ascii="Times New Roman" w:eastAsia="Times New Roman" w:hAnsi="Times New Roman" w:cs="Times New Roman"/>
            <w:color w:val="FF0000"/>
            <w:sz w:val="32"/>
            <w:szCs w:val="32"/>
            <w:u w:val="single"/>
            <w:lang w:eastAsia="it-IT"/>
          </w:rPr>
          <w:t>detenzione o diffusione abusiva di codici di accesso</w:t>
        </w:r>
      </w:hyperlink>
      <w:r w:rsidRPr="00034203">
        <w:rPr>
          <w:rFonts w:ascii="Times New Roman" w:eastAsia="Times New Roman" w:hAnsi="Times New Roman" w:cs="Times New Roman"/>
          <w:sz w:val="32"/>
          <w:szCs w:val="32"/>
          <w:lang w:eastAsia="it-IT"/>
        </w:rPr>
        <w:t xml:space="preserve"> (art. 615-quater c.p.) e la rivelazione del contenuto di documenti segreti (art. 621 c.p.), includendo i documenti protetti contenuti </w:t>
      </w:r>
      <w:r w:rsidRPr="00034203">
        <w:rPr>
          <w:rFonts w:ascii="Times New Roman" w:eastAsia="Times New Roman" w:hAnsi="Times New Roman" w:cs="Times New Roman"/>
          <w:color w:val="FF0000"/>
          <w:sz w:val="32"/>
          <w:szCs w:val="32"/>
          <w:lang w:eastAsia="it-IT"/>
        </w:rPr>
        <w:t xml:space="preserve">su </w:t>
      </w:r>
      <w:hyperlink r:id="rId44" w:tooltip="Supporto di memorizzazione" w:history="1">
        <w:r w:rsidRPr="00034203">
          <w:rPr>
            <w:rFonts w:ascii="Times New Roman" w:eastAsia="Times New Roman" w:hAnsi="Times New Roman" w:cs="Times New Roman"/>
            <w:color w:val="FF0000"/>
            <w:sz w:val="32"/>
            <w:szCs w:val="32"/>
            <w:u w:val="single"/>
            <w:lang w:eastAsia="it-IT"/>
          </w:rPr>
          <w:t>supporti informatici</w:t>
        </w:r>
      </w:hyperlink>
      <w:r w:rsidRPr="00034203">
        <w:rPr>
          <w:rFonts w:ascii="Times New Roman" w:eastAsia="Times New Roman" w:hAnsi="Times New Roman" w:cs="Times New Roman"/>
          <w:sz w:val="32"/>
          <w:szCs w:val="32"/>
          <w:lang w:eastAsia="it-IT"/>
        </w:rPr>
        <w:t>.</w:t>
      </w:r>
    </w:p>
    <w:p w:rsidR="00034203" w:rsidRDefault="00034203" w:rsidP="00034203">
      <w:pPr>
        <w:spacing w:before="100" w:beforeAutospacing="1" w:after="100" w:afterAutospacing="1" w:line="240" w:lineRule="auto"/>
        <w:ind w:left="720"/>
        <w:rPr>
          <w:rFonts w:ascii="Times New Roman" w:eastAsia="Times New Roman" w:hAnsi="Times New Roman" w:cs="Times New Roman"/>
          <w:color w:val="FF0000"/>
          <w:sz w:val="72"/>
          <w:szCs w:val="72"/>
          <w:lang w:eastAsia="it-IT"/>
        </w:rPr>
      </w:pPr>
      <w:r>
        <w:rPr>
          <w:rFonts w:ascii="Times New Roman" w:eastAsia="Times New Roman" w:hAnsi="Times New Roman" w:cs="Times New Roman"/>
          <w:color w:val="FF0000"/>
          <w:sz w:val="72"/>
          <w:szCs w:val="72"/>
          <w:lang w:eastAsia="it-IT"/>
        </w:rPr>
        <w:t>Spam</w:t>
      </w:r>
    </w:p>
    <w:p w:rsidR="00574DC2" w:rsidRPr="00034203" w:rsidRDefault="00574DC2" w:rsidP="00034203">
      <w:pPr>
        <w:spacing w:before="100" w:beforeAutospacing="1" w:after="100" w:afterAutospacing="1" w:line="240" w:lineRule="auto"/>
        <w:ind w:left="720"/>
        <w:rPr>
          <w:rFonts w:ascii="Times New Roman" w:eastAsia="Times New Roman" w:hAnsi="Times New Roman" w:cs="Times New Roman"/>
          <w:color w:val="FF0000"/>
          <w:sz w:val="32"/>
          <w:szCs w:val="32"/>
          <w:lang w:eastAsia="it-IT"/>
        </w:rPr>
      </w:pPr>
      <w:r w:rsidRPr="00574DC2">
        <w:rPr>
          <w:sz w:val="32"/>
          <w:szCs w:val="32"/>
        </w:rPr>
        <w:lastRenderedPageBreak/>
        <w:t>L'inatteso invio di email per fini commerciali è illegale, ma mentre le leggi anti-spam sono relativamente nuove, le comunicazioni inattese esistono da lungo tempo. Spammare significa anche il necropost di un articolo su un forum oppure l'invio ripetuto di messaggi, a volte indesiderati.</w:t>
      </w:r>
    </w:p>
    <w:p w:rsidR="00034203" w:rsidRPr="00034203" w:rsidRDefault="00574DC2" w:rsidP="00034203">
      <w:pPr>
        <w:pStyle w:val="NormaleWeb"/>
        <w:rPr>
          <w:color w:val="FF0000"/>
          <w:sz w:val="32"/>
          <w:szCs w:val="32"/>
        </w:rPr>
      </w:pPr>
      <w:r>
        <w:rPr>
          <w:noProof/>
        </w:rPr>
        <w:drawing>
          <wp:inline distT="0" distB="0" distL="0" distR="0">
            <wp:extent cx="4800600" cy="4800600"/>
            <wp:effectExtent l="19050" t="0" r="0" b="0"/>
            <wp:docPr id="4" name="Immagine 4" descr="http://www.jobitalia.net/wp-content/uploads/2014/06/SP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bitalia.net/wp-content/uploads/2014/06/SPAM.gif"/>
                    <pic:cNvPicPr>
                      <a:picLocks noChangeAspect="1" noChangeArrowheads="1"/>
                    </pic:cNvPicPr>
                  </pic:nvPicPr>
                  <pic:blipFill>
                    <a:blip r:embed="rId45"/>
                    <a:srcRect/>
                    <a:stretch>
                      <a:fillRect/>
                    </a:stretch>
                  </pic:blipFill>
                  <pic:spPr bwMode="auto">
                    <a:xfrm>
                      <a:off x="0" y="0"/>
                      <a:ext cx="4800600" cy="4800600"/>
                    </a:xfrm>
                    <a:prstGeom prst="rect">
                      <a:avLst/>
                    </a:prstGeom>
                    <a:noFill/>
                    <a:ln w="9525">
                      <a:noFill/>
                      <a:miter lim="800000"/>
                      <a:headEnd/>
                      <a:tailEnd/>
                    </a:ln>
                  </pic:spPr>
                </pic:pic>
              </a:graphicData>
            </a:graphic>
          </wp:inline>
        </w:drawing>
      </w:r>
    </w:p>
    <w:sectPr w:rsidR="00034203" w:rsidRPr="00034203" w:rsidSect="006B71A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19" w:rsidRDefault="00592619" w:rsidP="00034203">
      <w:pPr>
        <w:spacing w:after="0" w:line="240" w:lineRule="auto"/>
      </w:pPr>
      <w:r>
        <w:separator/>
      </w:r>
    </w:p>
  </w:endnote>
  <w:endnote w:type="continuationSeparator" w:id="1">
    <w:p w:rsidR="00592619" w:rsidRDefault="00592619" w:rsidP="0003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19" w:rsidRDefault="00592619" w:rsidP="00034203">
      <w:pPr>
        <w:spacing w:after="0" w:line="240" w:lineRule="auto"/>
      </w:pPr>
      <w:r>
        <w:separator/>
      </w:r>
    </w:p>
  </w:footnote>
  <w:footnote w:type="continuationSeparator" w:id="1">
    <w:p w:rsidR="00592619" w:rsidRDefault="00592619" w:rsidP="00034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65"/>
    <w:multiLevelType w:val="multilevel"/>
    <w:tmpl w:val="12E4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E39"/>
    <w:multiLevelType w:val="multilevel"/>
    <w:tmpl w:val="BA24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3FAE"/>
    <w:multiLevelType w:val="multilevel"/>
    <w:tmpl w:val="7D70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86CA1"/>
    <w:multiLevelType w:val="multilevel"/>
    <w:tmpl w:val="38DE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8375F"/>
    <w:multiLevelType w:val="multilevel"/>
    <w:tmpl w:val="ACE2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11E19"/>
    <w:multiLevelType w:val="multilevel"/>
    <w:tmpl w:val="ADF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34203"/>
    <w:rsid w:val="00034203"/>
    <w:rsid w:val="00574DC2"/>
    <w:rsid w:val="00592619"/>
    <w:rsid w:val="006B71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1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4203"/>
    <w:rPr>
      <w:color w:val="0000FF"/>
      <w:u w:val="single"/>
    </w:rPr>
  </w:style>
  <w:style w:type="paragraph" w:styleId="NormaleWeb">
    <w:name w:val="Normal (Web)"/>
    <w:basedOn w:val="Normale"/>
    <w:uiPriority w:val="99"/>
    <w:unhideWhenUsed/>
    <w:rsid w:val="000342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034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34203"/>
  </w:style>
  <w:style w:type="paragraph" w:styleId="Pidipagina">
    <w:name w:val="footer"/>
    <w:basedOn w:val="Normale"/>
    <w:link w:val="PidipaginaCarattere"/>
    <w:uiPriority w:val="99"/>
    <w:semiHidden/>
    <w:unhideWhenUsed/>
    <w:rsid w:val="00034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34203"/>
  </w:style>
  <w:style w:type="paragraph" w:styleId="Testofumetto">
    <w:name w:val="Balloon Text"/>
    <w:basedOn w:val="Normale"/>
    <w:link w:val="TestofumettoCarattere"/>
    <w:uiPriority w:val="99"/>
    <w:semiHidden/>
    <w:unhideWhenUsed/>
    <w:rsid w:val="00574D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592644">
      <w:bodyDiv w:val="1"/>
      <w:marLeft w:val="0"/>
      <w:marRight w:val="0"/>
      <w:marTop w:val="0"/>
      <w:marBottom w:val="0"/>
      <w:divBdr>
        <w:top w:val="none" w:sz="0" w:space="0" w:color="auto"/>
        <w:left w:val="none" w:sz="0" w:space="0" w:color="auto"/>
        <w:bottom w:val="none" w:sz="0" w:space="0" w:color="auto"/>
        <w:right w:val="none" w:sz="0" w:space="0" w:color="auto"/>
      </w:divBdr>
      <w:divsChild>
        <w:div w:id="1557810837">
          <w:marLeft w:val="0"/>
          <w:marRight w:val="0"/>
          <w:marTop w:val="0"/>
          <w:marBottom w:val="0"/>
          <w:divBdr>
            <w:top w:val="none" w:sz="0" w:space="0" w:color="auto"/>
            <w:left w:val="none" w:sz="0" w:space="0" w:color="auto"/>
            <w:bottom w:val="none" w:sz="0" w:space="0" w:color="auto"/>
            <w:right w:val="none" w:sz="0" w:space="0" w:color="auto"/>
          </w:divBdr>
          <w:divsChild>
            <w:div w:id="246890963">
              <w:marLeft w:val="0"/>
              <w:marRight w:val="0"/>
              <w:marTop w:val="0"/>
              <w:marBottom w:val="0"/>
              <w:divBdr>
                <w:top w:val="none" w:sz="0" w:space="0" w:color="auto"/>
                <w:left w:val="none" w:sz="0" w:space="0" w:color="auto"/>
                <w:bottom w:val="none" w:sz="0" w:space="0" w:color="auto"/>
                <w:right w:val="none" w:sz="0" w:space="0" w:color="auto"/>
              </w:divBdr>
              <w:divsChild>
                <w:div w:id="4024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941">
      <w:bodyDiv w:val="1"/>
      <w:marLeft w:val="0"/>
      <w:marRight w:val="0"/>
      <w:marTop w:val="0"/>
      <w:marBottom w:val="0"/>
      <w:divBdr>
        <w:top w:val="none" w:sz="0" w:space="0" w:color="auto"/>
        <w:left w:val="none" w:sz="0" w:space="0" w:color="auto"/>
        <w:bottom w:val="none" w:sz="0" w:space="0" w:color="auto"/>
        <w:right w:val="none" w:sz="0" w:space="0" w:color="auto"/>
      </w:divBdr>
      <w:divsChild>
        <w:div w:id="576860029">
          <w:marLeft w:val="0"/>
          <w:marRight w:val="0"/>
          <w:marTop w:val="0"/>
          <w:marBottom w:val="0"/>
          <w:divBdr>
            <w:top w:val="none" w:sz="0" w:space="0" w:color="auto"/>
            <w:left w:val="none" w:sz="0" w:space="0" w:color="auto"/>
            <w:bottom w:val="none" w:sz="0" w:space="0" w:color="auto"/>
            <w:right w:val="none" w:sz="0" w:space="0" w:color="auto"/>
          </w:divBdr>
          <w:divsChild>
            <w:div w:id="382290370">
              <w:marLeft w:val="0"/>
              <w:marRight w:val="0"/>
              <w:marTop w:val="0"/>
              <w:marBottom w:val="0"/>
              <w:divBdr>
                <w:top w:val="none" w:sz="0" w:space="0" w:color="auto"/>
                <w:left w:val="none" w:sz="0" w:space="0" w:color="auto"/>
                <w:bottom w:val="none" w:sz="0" w:space="0" w:color="auto"/>
                <w:right w:val="none" w:sz="0" w:space="0" w:color="auto"/>
              </w:divBdr>
              <w:divsChild>
                <w:div w:id="3400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6073">
      <w:bodyDiv w:val="1"/>
      <w:marLeft w:val="0"/>
      <w:marRight w:val="0"/>
      <w:marTop w:val="0"/>
      <w:marBottom w:val="0"/>
      <w:divBdr>
        <w:top w:val="none" w:sz="0" w:space="0" w:color="auto"/>
        <w:left w:val="none" w:sz="0" w:space="0" w:color="auto"/>
        <w:bottom w:val="none" w:sz="0" w:space="0" w:color="auto"/>
        <w:right w:val="none" w:sz="0" w:space="0" w:color="auto"/>
      </w:divBdr>
      <w:divsChild>
        <w:div w:id="1179387720">
          <w:marLeft w:val="0"/>
          <w:marRight w:val="0"/>
          <w:marTop w:val="0"/>
          <w:marBottom w:val="0"/>
          <w:divBdr>
            <w:top w:val="none" w:sz="0" w:space="0" w:color="auto"/>
            <w:left w:val="none" w:sz="0" w:space="0" w:color="auto"/>
            <w:bottom w:val="none" w:sz="0" w:space="0" w:color="auto"/>
            <w:right w:val="none" w:sz="0" w:space="0" w:color="auto"/>
          </w:divBdr>
          <w:divsChild>
            <w:div w:id="214125935">
              <w:marLeft w:val="0"/>
              <w:marRight w:val="0"/>
              <w:marTop w:val="0"/>
              <w:marBottom w:val="0"/>
              <w:divBdr>
                <w:top w:val="none" w:sz="0" w:space="0" w:color="auto"/>
                <w:left w:val="none" w:sz="0" w:space="0" w:color="auto"/>
                <w:bottom w:val="none" w:sz="0" w:space="0" w:color="auto"/>
                <w:right w:val="none" w:sz="0" w:space="0" w:color="auto"/>
              </w:divBdr>
              <w:divsChild>
                <w:div w:id="389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7759">
      <w:bodyDiv w:val="1"/>
      <w:marLeft w:val="0"/>
      <w:marRight w:val="0"/>
      <w:marTop w:val="0"/>
      <w:marBottom w:val="0"/>
      <w:divBdr>
        <w:top w:val="none" w:sz="0" w:space="0" w:color="auto"/>
        <w:left w:val="none" w:sz="0" w:space="0" w:color="auto"/>
        <w:bottom w:val="none" w:sz="0" w:space="0" w:color="auto"/>
        <w:right w:val="none" w:sz="0" w:space="0" w:color="auto"/>
      </w:divBdr>
      <w:divsChild>
        <w:div w:id="1862935263">
          <w:marLeft w:val="0"/>
          <w:marRight w:val="0"/>
          <w:marTop w:val="0"/>
          <w:marBottom w:val="0"/>
          <w:divBdr>
            <w:top w:val="none" w:sz="0" w:space="0" w:color="auto"/>
            <w:left w:val="none" w:sz="0" w:space="0" w:color="auto"/>
            <w:bottom w:val="none" w:sz="0" w:space="0" w:color="auto"/>
            <w:right w:val="none" w:sz="0" w:space="0" w:color="auto"/>
          </w:divBdr>
          <w:divsChild>
            <w:div w:id="403799252">
              <w:marLeft w:val="0"/>
              <w:marRight w:val="0"/>
              <w:marTop w:val="0"/>
              <w:marBottom w:val="0"/>
              <w:divBdr>
                <w:top w:val="none" w:sz="0" w:space="0" w:color="auto"/>
                <w:left w:val="none" w:sz="0" w:space="0" w:color="auto"/>
                <w:bottom w:val="none" w:sz="0" w:space="0" w:color="auto"/>
                <w:right w:val="none" w:sz="0" w:space="0" w:color="auto"/>
              </w:divBdr>
              <w:divsChild>
                <w:div w:id="10651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4056">
      <w:bodyDiv w:val="1"/>
      <w:marLeft w:val="0"/>
      <w:marRight w:val="0"/>
      <w:marTop w:val="0"/>
      <w:marBottom w:val="0"/>
      <w:divBdr>
        <w:top w:val="none" w:sz="0" w:space="0" w:color="auto"/>
        <w:left w:val="none" w:sz="0" w:space="0" w:color="auto"/>
        <w:bottom w:val="none" w:sz="0" w:space="0" w:color="auto"/>
        <w:right w:val="none" w:sz="0" w:space="0" w:color="auto"/>
      </w:divBdr>
      <w:divsChild>
        <w:div w:id="952906595">
          <w:marLeft w:val="0"/>
          <w:marRight w:val="0"/>
          <w:marTop w:val="0"/>
          <w:marBottom w:val="0"/>
          <w:divBdr>
            <w:top w:val="none" w:sz="0" w:space="0" w:color="auto"/>
            <w:left w:val="none" w:sz="0" w:space="0" w:color="auto"/>
            <w:bottom w:val="none" w:sz="0" w:space="0" w:color="auto"/>
            <w:right w:val="none" w:sz="0" w:space="0" w:color="auto"/>
          </w:divBdr>
          <w:divsChild>
            <w:div w:id="2094743328">
              <w:marLeft w:val="0"/>
              <w:marRight w:val="0"/>
              <w:marTop w:val="0"/>
              <w:marBottom w:val="0"/>
              <w:divBdr>
                <w:top w:val="none" w:sz="0" w:space="0" w:color="auto"/>
                <w:left w:val="none" w:sz="0" w:space="0" w:color="auto"/>
                <w:bottom w:val="none" w:sz="0" w:space="0" w:color="auto"/>
                <w:right w:val="none" w:sz="0" w:space="0" w:color="auto"/>
              </w:divBdr>
              <w:divsChild>
                <w:div w:id="1500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Hardware" TargetMode="External"/><Relationship Id="rId13" Type="http://schemas.openxmlformats.org/officeDocument/2006/relationships/hyperlink" Target="http://it.wikipedia.org/wiki/1989" TargetMode="External"/><Relationship Id="rId18" Type="http://schemas.openxmlformats.org/officeDocument/2006/relationships/hyperlink" Target="http://it.wikipedia.org/wiki/Programma_(informatica)" TargetMode="External"/><Relationship Id="rId26" Type="http://schemas.openxmlformats.org/officeDocument/2006/relationships/hyperlink" Target="http://it.wikipedia.org/wiki/Malware" TargetMode="External"/><Relationship Id="rId39" Type="http://schemas.openxmlformats.org/officeDocument/2006/relationships/hyperlink" Target="http://it.wikipedia.org/wiki/1993" TargetMode="External"/><Relationship Id="rId3" Type="http://schemas.openxmlformats.org/officeDocument/2006/relationships/settings" Target="settings.xml"/><Relationship Id="rId21" Type="http://schemas.openxmlformats.org/officeDocument/2006/relationships/hyperlink" Target="http://it.wikipedia.org/wiki/Intercettazione" TargetMode="External"/><Relationship Id="rId34" Type="http://schemas.openxmlformats.org/officeDocument/2006/relationships/hyperlink" Target="http://it.wikipedia.org/wiki/Truffa" TargetMode="External"/><Relationship Id="rId42" Type="http://schemas.openxmlformats.org/officeDocument/2006/relationships/hyperlink" Target="http://it.wikipedia.org/wiki/Bologna" TargetMode="External"/><Relationship Id="rId47" Type="http://schemas.openxmlformats.org/officeDocument/2006/relationships/theme" Target="theme/theme1.xml"/><Relationship Id="rId7" Type="http://schemas.openxmlformats.org/officeDocument/2006/relationships/hyperlink" Target="http://it.wikipedia.org/wiki/Informatica" TargetMode="External"/><Relationship Id="rId12" Type="http://schemas.openxmlformats.org/officeDocument/2006/relationships/hyperlink" Target="http://it.wikipedia.org/wiki/Anni_1980" TargetMode="External"/><Relationship Id="rId17" Type="http://schemas.openxmlformats.org/officeDocument/2006/relationships/hyperlink" Target="http://it.wikipedia.org/wiki/Dato" TargetMode="External"/><Relationship Id="rId25" Type="http://schemas.openxmlformats.org/officeDocument/2006/relationships/hyperlink" Target="http://it.wikipedia.org/wiki/Spam" TargetMode="External"/><Relationship Id="rId33" Type="http://schemas.openxmlformats.org/officeDocument/2006/relationships/hyperlink" Target="http://it.wikipedia.org/wiki/Frode_informatica" TargetMode="External"/><Relationship Id="rId38" Type="http://schemas.openxmlformats.org/officeDocument/2006/relationships/hyperlink" Target="http://it.wikipedia.org/wiki/Document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wikipedia.org/wiki/Frode_informatica" TargetMode="External"/><Relationship Id="rId20" Type="http://schemas.openxmlformats.org/officeDocument/2006/relationships/hyperlink" Target="http://it.wikipedia.org/wiki/Accesso_abusivo_ad_un_sistema_informatico_o_telematico" TargetMode="External"/><Relationship Id="rId29" Type="http://schemas.openxmlformats.org/officeDocument/2006/relationships/hyperlink" Target="http://it.wikipedia.org/wiki/Frode_informatica" TargetMode="External"/><Relationship Id="rId41" Type="http://schemas.openxmlformats.org/officeDocument/2006/relationships/hyperlink" Target="http://it.wikipedia.org/wiki/Pubblica_utilit%C3%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Furto_d%27identit%C3%A0" TargetMode="External"/><Relationship Id="rId24" Type="http://schemas.openxmlformats.org/officeDocument/2006/relationships/hyperlink" Target="http://it.wikipedia.org/wiki/Virus_(informatica)" TargetMode="External"/><Relationship Id="rId32" Type="http://schemas.openxmlformats.org/officeDocument/2006/relationships/hyperlink" Target="http://it.wikipedia.org/wiki/Phishing" TargetMode="External"/><Relationship Id="rId37" Type="http://schemas.openxmlformats.org/officeDocument/2006/relationships/hyperlink" Target="http://it.wikipedia.org/wiki/2007" TargetMode="External"/><Relationship Id="rId40" Type="http://schemas.openxmlformats.org/officeDocument/2006/relationships/hyperlink" Target="http://it.wikipedia.org/wiki/1993" TargetMode="External"/><Relationship Id="rId45"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it.wikipedia.org/wiki/Raccomandazione_(diritto_dell%27Unione_europea)" TargetMode="External"/><Relationship Id="rId23" Type="http://schemas.openxmlformats.org/officeDocument/2006/relationships/image" Target="media/image1.jpeg"/><Relationship Id="rId28" Type="http://schemas.openxmlformats.org/officeDocument/2006/relationships/hyperlink" Target="http://it.wikipedia.org/wiki/Stalking" TargetMode="External"/><Relationship Id="rId36" Type="http://schemas.openxmlformats.org/officeDocument/2006/relationships/hyperlink" Target="http://it.wikipedia.org/wiki/Codice_penale_italiano" TargetMode="External"/><Relationship Id="rId10" Type="http://schemas.openxmlformats.org/officeDocument/2006/relationships/hyperlink" Target="http://it.wikipedia.org/wiki/Corte_Internazionale_di_Giustizia" TargetMode="External"/><Relationship Id="rId19" Type="http://schemas.openxmlformats.org/officeDocument/2006/relationships/hyperlink" Target="http://it.wikipedia.org/wiki/Sabotaggio" TargetMode="External"/><Relationship Id="rId31" Type="http://schemas.openxmlformats.org/officeDocument/2006/relationships/hyperlink" Target="http://it.wikipedia.org/wiki/Information_warfare" TargetMode="External"/><Relationship Id="rId44" Type="http://schemas.openxmlformats.org/officeDocument/2006/relationships/hyperlink" Target="http://it.wikipedia.org/wiki/Supporto_di_memorizzazione" TargetMode="External"/><Relationship Id="rId4" Type="http://schemas.openxmlformats.org/officeDocument/2006/relationships/webSettings" Target="webSettings.xml"/><Relationship Id="rId9" Type="http://schemas.openxmlformats.org/officeDocument/2006/relationships/hyperlink" Target="http://it.wikipedia.org/wiki/Software" TargetMode="External"/><Relationship Id="rId14" Type="http://schemas.openxmlformats.org/officeDocument/2006/relationships/hyperlink" Target="http://it.wikipedia.org/wiki/Consiglio_d%27Europa" TargetMode="External"/><Relationship Id="rId22" Type="http://schemas.openxmlformats.org/officeDocument/2006/relationships/hyperlink" Target="http://it.wikipedia.org/wiki/Topografia" TargetMode="External"/><Relationship Id="rId27" Type="http://schemas.openxmlformats.org/officeDocument/2006/relationships/hyperlink" Target="http://it.wikipedia.org/wiki/Computer" TargetMode="External"/><Relationship Id="rId30" Type="http://schemas.openxmlformats.org/officeDocument/2006/relationships/hyperlink" Target="http://it.wikipedia.org/wiki/Querela_di_falso" TargetMode="External"/><Relationship Id="rId35" Type="http://schemas.openxmlformats.org/officeDocument/2006/relationships/hyperlink" Target="http://it.wikipedia.org/wiki/1993" TargetMode="External"/><Relationship Id="rId43" Type="http://schemas.openxmlformats.org/officeDocument/2006/relationships/hyperlink" Target="http://it.wikipedia.org/wiki/Detenzione_o_diffusione_abusiva_di_codici_di_acces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1221</Words>
  <Characters>6965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gardenia</dc:creator>
  <cp:lastModifiedBy>gardenia</cp:lastModifiedBy>
  <cp:revision>1</cp:revision>
  <dcterms:created xsi:type="dcterms:W3CDTF">2014-11-17T20:40:00Z</dcterms:created>
  <dcterms:modified xsi:type="dcterms:W3CDTF">2014-11-17T21:09:00Z</dcterms:modified>
</cp:coreProperties>
</file>